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текст для размещения на сайте</w:t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160" w:lineRule="auto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Международный конкурс выпускных квалификационных работ с использованием программных продуктов «1С» — одна из наиболее важных форм работы сообщества «1С» с молодежью.</w:t>
      </w:r>
    </w:p>
    <w:p w:rsidR="00000000" w:rsidDel="00000000" w:rsidP="00000000" w:rsidRDefault="00000000" w:rsidRPr="00000000" w14:paraId="00000004">
      <w:pPr>
        <w:shd w:fill="ffffff" w:val="clear"/>
        <w:spacing w:after="160" w:lineRule="auto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Первый конкурс прошел в 2007/2008 учебном году, и с тех пор проводится «1С» на регулярной основе.</w:t>
      </w:r>
    </w:p>
    <w:p w:rsidR="00000000" w:rsidDel="00000000" w:rsidP="00000000" w:rsidRDefault="00000000" w:rsidRPr="00000000" w14:paraId="00000005">
      <w:pPr>
        <w:shd w:fill="ffffff" w:val="clear"/>
        <w:spacing w:after="160" w:lineRule="auto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К участию в конкурсе приглашаются выпускники учебных заведений, получающие первое высшее образование, ВКР которых выполнена на платформе «1С:Предприятие 8».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Участвовать в конкурсе могут выпускники бакалавриата, специалитета, магистратуры, а также выпускники средних учебных заведений-техникумов, колледжей.</w:t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Участие в конкурсе является бесплатным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В связи с тем, что сроки обучения в разных учебных заведениях различаются, дипломные проекты на конкурс можно высылать по мере их защиты в ГАКе.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На конкурс могут быть представлены дипломные проекты, защищенные с 1 сентября по 31 августа.</w:t>
      </w:r>
    </w:p>
    <w:p w:rsidR="00000000" w:rsidDel="00000000" w:rsidP="00000000" w:rsidRDefault="00000000" w:rsidRPr="00000000" w14:paraId="0000000A">
      <w:pPr>
        <w:shd w:fill="ffffff" w:val="clear"/>
        <w:spacing w:after="160" w:lineRule="auto"/>
        <w:rPr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Проекты принимаются до 15 сентября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hd w:fill="ffffff" w:val="clear"/>
        <w:spacing w:after="0" w:line="276" w:lineRule="auto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На базе платформы «1С:Предприятие» создано множество конфигураций, которые могут использоваться для автоматизации различных видов деятельности в разных отраслях (см. раздел «</w:t>
      </w:r>
      <w:hyperlink r:id="rId6">
        <w:r w:rsidDel="00000000" w:rsidR="00000000" w:rsidRPr="00000000">
          <w:rPr>
            <w:color w:val="006699"/>
            <w:sz w:val="20"/>
            <w:szCs w:val="20"/>
            <w:rtl w:val="0"/>
          </w:rPr>
          <w:t xml:space="preserve">Прайс-листы</w:t>
        </w:r>
      </w:hyperlink>
      <w:r w:rsidDel="00000000" w:rsidR="00000000" w:rsidRPr="00000000">
        <w:rPr>
          <w:color w:val="333333"/>
          <w:sz w:val="20"/>
          <w:szCs w:val="20"/>
          <w:rtl w:val="0"/>
        </w:rPr>
        <w:t xml:space="preserve">»). Все эти продукты могут быть использованы при написании выпускных квалификационных работ.</w:t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pBdr>
          <w:top w:color="auto" w:space="15" w:sz="0" w:val="none"/>
          <w:left w:color="auto" w:space="0" w:sz="0" w:val="none"/>
          <w:bottom w:color="auto" w:space="10" w:sz="0" w:val="none"/>
          <w:right w:color="auto" w:space="0" w:sz="0" w:val="none"/>
        </w:pBdr>
        <w:shd w:fill="ffffff" w:val="clear"/>
        <w:spacing w:after="0" w:before="0" w:line="240" w:lineRule="auto"/>
        <w:rPr>
          <w:color w:val="333333"/>
          <w:sz w:val="28"/>
          <w:szCs w:val="28"/>
        </w:rPr>
      </w:pPr>
      <w:bookmarkStart w:colFirst="0" w:colLast="0" w:name="_mk8n66648kf5" w:id="0"/>
      <w:bookmarkEnd w:id="0"/>
      <w:r w:rsidDel="00000000" w:rsidR="00000000" w:rsidRPr="00000000">
        <w:rPr>
          <w:color w:val="333333"/>
          <w:sz w:val="28"/>
          <w:szCs w:val="28"/>
          <w:rtl w:val="0"/>
        </w:rPr>
        <w:t xml:space="preserve">Регистрация</w:t>
      </w:r>
    </w:p>
    <w:p w:rsidR="00000000" w:rsidDel="00000000" w:rsidP="00000000" w:rsidRDefault="00000000" w:rsidRPr="00000000" w14:paraId="0000000D">
      <w:pPr>
        <w:shd w:fill="ffffff" w:val="clear"/>
        <w:spacing w:after="160" w:lineRule="auto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Студенты регистрируются для участия в конкурсе на сайте, </w:t>
      </w:r>
      <w:hyperlink r:id="rId7">
        <w:r w:rsidDel="00000000" w:rsidR="00000000" w:rsidRPr="00000000">
          <w:rPr>
            <w:color w:val="006699"/>
            <w:sz w:val="20"/>
            <w:szCs w:val="20"/>
            <w:rtl w:val="0"/>
          </w:rPr>
          <w:t xml:space="preserve">заполнив анкету</w:t>
        </w:r>
      </w:hyperlink>
      <w:r w:rsidDel="00000000" w:rsidR="00000000" w:rsidRPr="00000000">
        <w:rPr>
          <w:color w:val="333333"/>
          <w:sz w:val="20"/>
          <w:szCs w:val="20"/>
          <w:rtl w:val="0"/>
        </w:rPr>
        <w:t xml:space="preserve"> на сайте фирмы «1С».</w:t>
      </w:r>
    </w:p>
    <w:p w:rsidR="00000000" w:rsidDel="00000000" w:rsidP="00000000" w:rsidRDefault="00000000" w:rsidRPr="00000000" w14:paraId="0000000E">
      <w:pPr>
        <w:shd w:fill="ffffff" w:val="clear"/>
        <w:spacing w:after="160" w:lineRule="auto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Участникам конкурса может быть предоставлен доступ к сервису «</w:t>
      </w:r>
      <w:hyperlink r:id="rId8">
        <w:r w:rsidDel="00000000" w:rsidR="00000000" w:rsidRPr="00000000">
          <w:rPr>
            <w:color w:val="006699"/>
            <w:sz w:val="20"/>
            <w:szCs w:val="20"/>
            <w:rtl w:val="0"/>
          </w:rPr>
          <w:t xml:space="preserve">1С:Предприятие 8 через Интернет для учебных заведений</w:t>
        </w:r>
      </w:hyperlink>
      <w:r w:rsidDel="00000000" w:rsidR="00000000" w:rsidRPr="00000000">
        <w:rPr>
          <w:color w:val="333333"/>
          <w:sz w:val="20"/>
          <w:szCs w:val="20"/>
          <w:rtl w:val="0"/>
        </w:rPr>
        <w:t xml:space="preserve">», в рамках которого доступны популярные программы «1С:Предприятие 8»: «1С:Бухгалтерия», «1С:Управление нашей фирмой», «1С:Зарплата и управление персоналом», «1С:Управление торговлей», «1С:ERP Управление предприятием», а также методические материалы к ним.</w:t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Доступ предоставляется к типовым решениям, без возможности конфигурирования.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Для получения доступа необходимо отправить запрос на </w:t>
      </w:r>
      <w:r w:rsidDel="00000000" w:rsidR="00000000" w:rsidRPr="00000000">
        <w:rPr>
          <w:color w:val="006699"/>
          <w:sz w:val="20"/>
          <w:szCs w:val="20"/>
          <w:rtl w:val="0"/>
        </w:rPr>
        <w:t xml:space="preserve">partner@rarus.ru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1">
      <w:pPr>
        <w:shd w:fill="ffffff" w:val="clear"/>
        <w:spacing w:after="0" w:lineRule="auto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Информация о всех участниках конкурса будет размещена на сайте «1С».</w:t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pBdr>
          <w:top w:color="auto" w:space="15" w:sz="0" w:val="none"/>
          <w:left w:color="auto" w:space="0" w:sz="0" w:val="none"/>
          <w:bottom w:color="auto" w:space="10" w:sz="0" w:val="none"/>
          <w:right w:color="auto" w:space="0" w:sz="0" w:val="none"/>
        </w:pBdr>
        <w:shd w:fill="ffffff" w:val="clear"/>
        <w:spacing w:after="0" w:before="0" w:line="243.52941176470586" w:lineRule="auto"/>
        <w:rPr>
          <w:color w:val="333333"/>
          <w:sz w:val="28"/>
          <w:szCs w:val="28"/>
        </w:rPr>
      </w:pPr>
      <w:bookmarkStart w:colFirst="0" w:colLast="0" w:name="_lymx1447lfgi" w:id="1"/>
      <w:bookmarkEnd w:id="1"/>
      <w:r w:rsidDel="00000000" w:rsidR="00000000" w:rsidRPr="00000000">
        <w:rPr>
          <w:color w:val="333333"/>
          <w:sz w:val="28"/>
          <w:szCs w:val="28"/>
          <w:rtl w:val="0"/>
        </w:rPr>
        <w:t xml:space="preserve">Итоги конкурса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Итоги конкурса будут подводиться единовременно в ноябре в несколько этапов.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Конкурс проводится в 3 тура. Региональный, Федеральный, Заключительный. Оценка ВКР конкурса осуществляется сотрудниками фирмы «1С», преподавателями вузов и представителями фирм-франчайзи «1С», которые определят победителей конкурса.</w:t>
      </w:r>
    </w:p>
    <w:p w:rsidR="00000000" w:rsidDel="00000000" w:rsidP="00000000" w:rsidRDefault="00000000" w:rsidRPr="00000000" w14:paraId="00000015">
      <w:pPr>
        <w:shd w:fill="ffffff" w:val="clear"/>
        <w:spacing w:after="160" w:lineRule="auto"/>
        <w:rPr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На заключительном этапе конкурса будут объявлены победители по номинациям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auto" w:space="1" w:sz="0" w:val="none"/>
          <w:bottom w:color="auto" w:space="1" w:sz="0" w:val="none"/>
          <w:right w:color="auto" w:space="0" w:sz="0" w:val="none"/>
          <w:between w:color="auto" w:space="1" w:sz="0" w:val="none"/>
        </w:pBd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«Лучший дипломный проект»;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color="auto" w:space="1" w:sz="0" w:val="none"/>
          <w:bottom w:color="auto" w:space="1" w:sz="0" w:val="none"/>
          <w:right w:color="auto" w:space="0" w:sz="0" w:val="none"/>
          <w:between w:color="auto" w:space="1" w:sz="0" w:val="none"/>
        </w:pBd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«Лучшая точка практики»;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color="auto" w:space="1" w:sz="0" w:val="none"/>
          <w:bottom w:color="auto" w:space="1" w:sz="0" w:val="none"/>
          <w:right w:color="auto" w:space="0" w:sz="0" w:val="none"/>
          <w:between w:color="auto" w:space="1" w:sz="0" w:val="none"/>
        </w:pBdr>
        <w:shd w:fill="ffffff" w:val="clear"/>
        <w:spacing w:after="0" w:lineRule="auto"/>
        <w:ind w:left="720" w:hanging="360"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«За массовую подготовку молодых специалистов, владеющих технологиями 1С».</w:t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pBdr>
          <w:top w:color="auto" w:space="15" w:sz="0" w:val="none"/>
          <w:left w:color="auto" w:space="0" w:sz="0" w:val="none"/>
          <w:bottom w:color="auto" w:space="10" w:sz="0" w:val="none"/>
          <w:right w:color="auto" w:space="0" w:sz="0" w:val="none"/>
        </w:pBdr>
        <w:shd w:fill="ffffff" w:val="clear"/>
        <w:spacing w:after="0" w:before="0" w:line="243.52941176470586" w:lineRule="auto"/>
        <w:rPr>
          <w:color w:val="333333"/>
          <w:sz w:val="28"/>
          <w:szCs w:val="28"/>
        </w:rPr>
      </w:pPr>
      <w:bookmarkStart w:colFirst="0" w:colLast="0" w:name="_c40kbyr06xh" w:id="2"/>
      <w:bookmarkEnd w:id="2"/>
      <w:r w:rsidDel="00000000" w:rsidR="00000000" w:rsidRPr="00000000">
        <w:rPr>
          <w:color w:val="333333"/>
          <w:sz w:val="28"/>
          <w:szCs w:val="28"/>
          <w:rtl w:val="0"/>
        </w:rPr>
        <w:t xml:space="preserve">Призовой фонд конкурса</w:t>
      </w:r>
    </w:p>
    <w:tbl>
      <w:tblPr>
        <w:tblStyle w:val="Table1"/>
        <w:tblW w:w="9637.20472440945" w:type="dxa"/>
        <w:jc w:val="left"/>
        <w:tblInd w:w="120.0" w:type="pct"/>
        <w:tblBorders>
          <w:top w:color="dfdfdf" w:space="0" w:sz="6" w:val="single"/>
          <w:left w:color="dfdfdf" w:space="0" w:sz="6" w:val="single"/>
          <w:bottom w:color="000000" w:space="0" w:sz="0" w:val="nil"/>
          <w:right w:color="dfdfdf" w:space="0" w:sz="6" w:val="single"/>
        </w:tblBorders>
        <w:tblLayout w:type="fixed"/>
        <w:tblLook w:val="0600"/>
      </w:tblPr>
      <w:tblGrid>
        <w:gridCol w:w="4693.983335595982"/>
        <w:gridCol w:w="4943.221388813468"/>
        <w:tblGridChange w:id="0">
          <w:tblGrid>
            <w:gridCol w:w="4693.983335595982"/>
            <w:gridCol w:w="4943.221388813468"/>
          </w:tblGrid>
        </w:tblGridChange>
      </w:tblGrid>
      <w:tr>
        <w:trPr>
          <w:trHeight w:val="615" w:hRule="atLeast"/>
        </w:trPr>
        <w:tc>
          <w:tcPr>
            <w:tcBorders>
              <w:top w:color="000000" w:space="0" w:sz="0" w:val="nil"/>
              <w:left w:color="dfdfdf" w:space="0" w:sz="6" w:val="single"/>
              <w:bottom w:color="dfdfdf" w:space="0" w:sz="6" w:val="single"/>
              <w:right w:color="000000" w:space="0" w:sz="0" w:val="nil"/>
            </w:tcBorders>
            <w:tcMar>
              <w:top w:w="200.0" w:type="dxa"/>
              <w:left w:w="120.0" w:type="dxa"/>
              <w:bottom w:w="2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Федеральный этап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fdfdf" w:space="0" w:sz="6" w:val="single"/>
              <w:bottom w:color="dfdfdf" w:space="0" w:sz="6" w:val="single"/>
              <w:right w:color="000000" w:space="0" w:sz="0" w:val="nil"/>
            </w:tcBorders>
            <w:tcMar>
              <w:top w:w="200.0" w:type="dxa"/>
              <w:left w:w="120.0" w:type="dxa"/>
              <w:bottom w:w="2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Заключительный этап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dfdfdf" w:space="0" w:sz="6" w:val="single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место — 100 000 руб.</w:t>
            </w:r>
          </w:p>
        </w:tc>
        <w:tc>
          <w:tcPr>
            <w:tcBorders>
              <w:top w:color="000000" w:space="0" w:sz="0" w:val="nil"/>
              <w:left w:color="dfdfdf" w:space="0" w:sz="6" w:val="single"/>
              <w:bottom w:color="dfdfdf" w:space="0" w:sz="6" w:val="single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место — 300 000 руб.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dfdfdf" w:space="0" w:sz="6" w:val="single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 место — 60 000 руб.</w:t>
            </w:r>
          </w:p>
        </w:tc>
        <w:tc>
          <w:tcPr>
            <w:tcBorders>
              <w:top w:color="000000" w:space="0" w:sz="0" w:val="nil"/>
              <w:left w:color="dfdfdf" w:space="0" w:sz="6" w:val="single"/>
              <w:bottom w:color="dfdfdf" w:space="0" w:sz="6" w:val="single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 место — 200 000 руб.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dfdfdf" w:space="0" w:sz="6" w:val="single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III место — 40 000 руб.</w:t>
            </w:r>
          </w:p>
        </w:tc>
        <w:tc>
          <w:tcPr>
            <w:tcBorders>
              <w:top w:color="000000" w:space="0" w:sz="0" w:val="nil"/>
              <w:left w:color="dfdfdf" w:space="0" w:sz="6" w:val="single"/>
              <w:bottom w:color="dfdfdf" w:space="0" w:sz="6" w:val="single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III место — 100 000 руб.</w:t>
            </w:r>
          </w:p>
        </w:tc>
      </w:tr>
    </w:tbl>
    <w:p w:rsidR="00000000" w:rsidDel="00000000" w:rsidP="00000000" w:rsidRDefault="00000000" w:rsidRPr="00000000" w14:paraId="00000022">
      <w:pPr>
        <w:shd w:fill="ffffff" w:val="clear"/>
        <w:spacing w:after="160" w:lineRule="auto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Награды выплачиваются как студенту, так и руководителю ВКР от УЗ.</w:t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Все конкурсанты и их руководители получат диплом участника международного конкурса ВКР с использованием ПП «1С».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b w:val="1"/>
          <w:color w:val="333333"/>
          <w:sz w:val="20"/>
          <w:szCs w:val="20"/>
        </w:rPr>
      </w:pPr>
      <w:hyperlink r:id="rId9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ПОДАТЬ ЗАЯВКУ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>
          <w:color w:val="006699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За более подробной информацией вы можете обратиться к специалисту компании «1С-Рарус», курирующего работу с образовательными учреждениями по тел.: +7 (495) 642-78-78 или по эл. почте: </w:t>
      </w: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partner@rarus.ru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275.5905511811022" w:right="997.204724409448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partner@rarus.ru" TargetMode="External"/><Relationship Id="rId9" Type="http://schemas.openxmlformats.org/officeDocument/2006/relationships/hyperlink" Target="https://1c.ru/news/events/diplom/diplom.jsp" TargetMode="External"/><Relationship Id="rId5" Type="http://schemas.openxmlformats.org/officeDocument/2006/relationships/styles" Target="styles.xml"/><Relationship Id="rId6" Type="http://schemas.openxmlformats.org/officeDocument/2006/relationships/hyperlink" Target="https://rarus-soft.ru/bitrix/rk.php?goto=http://1c.ru/rus/partners/pricelst.jsp" TargetMode="External"/><Relationship Id="rId7" Type="http://schemas.openxmlformats.org/officeDocument/2006/relationships/hyperlink" Target="https://rarus-soft.ru/bitrix/rk.php?goto=http://www.1c.ru/news/events/diplom/diplom.jsp" TargetMode="External"/><Relationship Id="rId8" Type="http://schemas.openxmlformats.org/officeDocument/2006/relationships/hyperlink" Target="https://rarus-soft.ru/bitrix/rk.php?goto=https://edu.1cfres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